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578C" w:rsidRPr="0020578C" w:rsidRDefault="0020578C" w:rsidP="0020578C">
      <w:pPr>
        <w:spacing w:line="360" w:lineRule="auto"/>
        <w:jc w:val="center"/>
      </w:pPr>
      <w:r w:rsidRPr="0020578C">
        <w:t>Distinct glycosylation and functional profile of typhoid vaccine-induced antibodies in a UK challenge study and Nepalese children.</w:t>
      </w:r>
      <w:r>
        <w:t xml:space="preserve"> Stockdale </w:t>
      </w:r>
      <w:r>
        <w:rPr>
          <w:i/>
        </w:rPr>
        <w:t xml:space="preserve">et al. </w:t>
      </w:r>
      <w:proofErr w:type="spellStart"/>
      <w:r w:rsidRPr="0020578C">
        <w:rPr>
          <w:i/>
        </w:rPr>
        <w:t>doi</w:t>
      </w:r>
      <w:proofErr w:type="spellEnd"/>
      <w:r w:rsidRPr="0020578C">
        <w:rPr>
          <w:i/>
        </w:rPr>
        <w:t>: 10.3389/frans.2022.1005558</w:t>
      </w:r>
      <w:bookmarkStart w:id="0" w:name="_GoBack"/>
      <w:bookmarkEnd w:id="0"/>
    </w:p>
    <w:p w:rsidR="0020578C" w:rsidRDefault="0020578C" w:rsidP="0020578C">
      <w:pPr>
        <w:spacing w:line="360" w:lineRule="auto"/>
        <w:jc w:val="center"/>
      </w:pPr>
      <w:r>
        <w:t>Supplementary Methods</w:t>
      </w:r>
    </w:p>
    <w:p w:rsidR="0020578C" w:rsidRDefault="0020578C" w:rsidP="0020578C">
      <w:pPr>
        <w:pStyle w:val="Heading2"/>
      </w:pPr>
      <w:r w:rsidRPr="004E6822">
        <w:t>Assays to measure antibody function</w:t>
      </w:r>
    </w:p>
    <w:p w:rsidR="0020578C" w:rsidRPr="004E6822" w:rsidRDefault="0020578C" w:rsidP="0020578C"/>
    <w:p w:rsidR="0020578C" w:rsidRPr="0017520B" w:rsidRDefault="0020578C" w:rsidP="0020578C">
      <w:pPr>
        <w:spacing w:line="360" w:lineRule="auto"/>
      </w:pPr>
      <w:r>
        <w:t xml:space="preserve">Antibody dependent monocyte, and neutrophil phagocytosis (ADCP, ADNP), NK cell activation (ADNKA), complement deposition (ADCD), and serum bactericidal activity analysis were </w:t>
      </w:r>
      <w:r w:rsidRPr="00C45931">
        <w:t xml:space="preserve">performed </w:t>
      </w:r>
      <w:r>
        <w:t>based upon</w:t>
      </w:r>
      <w:r w:rsidRPr="00C45931">
        <w:t xml:space="preserve"> previously described</w:t>
      </w:r>
      <w:r>
        <w:t xml:space="preserve"> methods and carried out on UK samples at all timepoints studied here and are reported by Jin et al </w:t>
      </w:r>
      <w:r>
        <w:fldChar w:fldCharType="begin" w:fldLock="1"/>
      </w:r>
      <w:r>
        <w:instrText>ADDIN CSL_CITATION {"citationItems":[{"id":"ITEM-1","itemData":{"DOI":"10.1084/jem.20201116","ISSN":"15409538","PMID":"33180929","abstract":"Typhoid Vi vaccines have been shown to be efficacious in children living in endemic regions; however, a widely accepted correlate of protection remains to be established. We applied a systems serology approach to identify Vi-specific serological correlates of protection using samples obtained from participants enrolled in an experimental controlled human infection study. Participants were vaccinated with Vi-tetanus toxoid conjugate (Vi-TT) or unconjugated Vi-polysaccharide (Vi-PS) vaccines and were subsequently challenged with Salmonella Typhi bacteria. Multivariate analyses identified distinct protective signatures for Vi-TT and Vi-PS vaccines in addition to shared features that predicted protection across both groups. Vi IgA quantity and avidity correlated with protection from S. Typhi infection, whereas higher fold increases in Vi IgG responses were associated with reduced disease severity. Targeted antibody-mediated functional responses, particularly neutrophil phagocytosis, were also identified as important components of the protective signature. These humoral markers could be used to evaluate and develop efficacious Vi-conjugate vaccines and assist with accelerating vaccine availability to typhoid-endemic regions.","author":[{"dropping-particle":"","family":"Jin","given":"Celina","non-dropping-particle":"","parse-names":false,"suffix":""},{"dropping-particle":"","family":"Hill","given":"Jennifer","non-dropping-particle":"","parse-names":false,"suffix":""},{"dropping-particle":"","family":"Gunn","given":"Bronwyn M.","non-dropping-particle":"","parse-names":false,"suffix":""},{"dropping-particle":"","family":"Yu","given":"Wen Han","non-dropping-particle":"","parse-names":false,"suffix":""},{"dropping-particle":"","family":"Dahora","given":"Lindsay C.","non-dropping-particle":"","parse-names":false,"suffix":""},{"dropping-particle":"","family":"Jones","given":"Elizabeth","non-dropping-particle":"","parse-names":false,"suffix":""},{"dropping-particle":"","family":"Johnson","given":"Mari","non-dropping-particle":"","parse-names":false,"suffix":""},{"dropping-particle":"","family":"Gibani","given":"Malick M.","non-dropping-particle":"","parse-names":false,"suffix":""},{"dropping-particle":"","family":"Spreng","given":"Rachel L.","non-dropping-particle":"","parse-names":false,"suffix":""},{"dropping-particle":"","family":"Alam","given":"S. Munir","non-dropping-particle":"","parse-names":false,"suffix":""},{"dropping-particle":"","family":"Nebykova","given":"Anna","non-dropping-particle":"","parse-names":false,"suffix":""},{"dropping-particle":"","family":"Juel","given":"Helene B.","non-dropping-particle":"","parse-names":false,"suffix":""},{"dropping-particle":"","family":"Dennison","given":"S. Moses","non-dropping-particle":"","parse-names":false,"suffix":""},{"dropping-particle":"","family":"Seaton","given":"Kelly E.","non-dropping-particle":"","parse-names":false,"suffix":""},{"dropping-particle":"","family":"Fallon","given":"Jonathan K.","non-dropping-particle":"","parse-names":false,"suffix":""},{"dropping-particle":"","family":"Tomaras","given":"Georgia D.","non-dropping-particle":"","parse-names":false,"suffix":""},{"dropping-particle":"","family":"Alter","given":"Galit","non-dropping-particle":"","parse-names":false,"suffix":""},{"dropping-particle":"","family":"Pollard","given":"Andrew J.","non-dropping-particle":"","parse-names":false,"suffix":""}],"container-title":"The Journal of experimental medicine","id":"ITEM-1","issue":"2","issued":{"date-parts":[["2021"]]},"title":"Vi-specific serological correlates of protection for typhoid fever","type":"article-journal","volume":"218"},"uris":["http://www.mendeley.com/documents/?uuid=acadfb31-c2f6-4e6a-a17b-eaf450d33e6e"]}],"mendeley":{"formattedCitation":"(1)","plainTextFormattedCitation":"(1)","previouslyFormattedCitation":"(1)"},"properties":{"noteIndex":0},"schema":"https://github.com/citation-style-language/schema/raw/master/csl-citation.json"}</w:instrText>
      </w:r>
      <w:r>
        <w:fldChar w:fldCharType="separate"/>
      </w:r>
      <w:r w:rsidRPr="00601DCF">
        <w:rPr>
          <w:noProof/>
        </w:rPr>
        <w:t>(1)</w:t>
      </w:r>
      <w:r>
        <w:fldChar w:fldCharType="end"/>
      </w:r>
      <w:r>
        <w:t xml:space="preserve">. ADNP was investigated using the same method for Nepalese samples but the assay carried out in a different laboratory and data are </w:t>
      </w:r>
      <w:r w:rsidRPr="00C77791">
        <w:t xml:space="preserve">reported </w:t>
      </w:r>
      <w:r>
        <w:t>by</w:t>
      </w:r>
      <w:r w:rsidRPr="00C77791">
        <w:t xml:space="preserve"> Johnson et al </w:t>
      </w:r>
      <w:r w:rsidRPr="00C77791">
        <w:fldChar w:fldCharType="begin" w:fldLock="1"/>
      </w:r>
      <w:r>
        <w:instrText>ADDIN CSL_CITATION {"citationItems":[{"id":"ITEM-1","itemData":{"DOI":"10.3389/fitd.2021.742804","abstract":" Typhoid Vi-conjugate vaccines (Vi-TCV) have been developed to control typhoid fever in children in endemic regions. Previously, in a human challenge model of typhoid, Vi-TCV was administered prior to deliberate ingestion of Salmonella Typhi by healthy adult volunteers in the UK. Vi-specific antibody-dependent neutrophil phagocytosis (ADNP) was associated with protection against enteric fever in this model, but it is not known if ADNP is induced by vaccination of children. We measured ADNP in a cohort of Nepalese children receiving a Vi-TCV in a field study to investigate whether functional antibody responses were also present in children in an endemic setting. Furthermore, we investigated relationships between the functional antibody measures and other properties of the antibody response, including Vi-IgG and IgA titres, and Fc region glycosylation. Antibody-dependent neutrophil phagocytosis significantly increased in children aged 9 months to 15 years between the day of vaccination and 28 days following administration of Vi-TCV (D28). The magnitude of ADNP was also comparable with the levels of ADNP induced by plasma from vaccinated UK adults. Neither IgG nor IgA antibody titres significantly correlated with ADNP scores at D28; however, increased vaccine-induced ADNP was associated with decreased levels of IgG1 sialylation. These data suggest that vaccination with Vi-TCV produces functional antibody responses in children, which associate with specific glycosylation patterns of the Fc region. ","author":[{"dropping-particle":"","family":"Johnson","given":"Mari","non-dropping-particle":"","parse-names":false,"suffix":""},{"dropping-particle":"","family":"Stockdale","given":"Lisa","non-dropping-particle":"","parse-names":false,"suffix":""},{"dropping-particle":"","family":"Haan","given":"Noortje","non-dropping-particle":"de","parse-names":false,"suffix":""},{"dropping-particle":"","family":"Wuhrer","given":"Manfred","non-dropping-particle":"","parse-names":false,"suffix":""},{"dropping-particle":"","family":"Nouta","given":"Jan","non-dropping-particle":"","parse-names":false,"suffix":""},{"dropping-particle":"","family":"Koeleman","given":"Carolien A. M.","non-dropping-particle":"","parse-names":false,"suffix":""},{"dropping-particle":"","family":"Clarke","given":"Jenny","non-dropping-particle":"","parse-names":false,"suffix":""},{"dropping-particle":"","family":"Marinou","given":"Spyridoula","non-dropping-particle":"","parse-names":false,"suffix":""},{"dropping-particle":"","family":"Shakya","given":"Mila","non-dropping-particle":"","parse-names":false,"suffix":""},{"dropping-particle":"","family":"Colin-Jones","given":"Rachel","non-dropping-particle":"","parse-names":false,"suffix":""},{"dropping-particle":"","family":"Theiss-Nyland","given":"Katherine","non-dropping-particle":"","parse-names":false,"suffix":""},{"dropping-particle":"","family":"Voysey","given":"Merryn","non-dropping-particle":"","parse-names":false,"suffix":""},{"dropping-particle":"","family":"Jin","given":"Celina","non-dropping-particle":"","parse-names":false,"suffix":""},{"dropping-particle":"","family":"Pant","given":"Dikshya","non-dropping-particle":"","parse-names":false,"suffix":""},{"dropping-particle":"","family":"Jones","given":"Elizabeth","non-dropping-particle":"","parse-names":false,"suffix":""},{"dropping-particle":"","family":"Kelly","given":"Sarah","non-dropping-particle":"","parse-names":false,"suffix":""},{"dropping-particle":"","family":"Dongol","given":"Sabina","non-dropping-particle":"","parse-names":false,"suffix":""},{"dropping-particle":"","family":"Karkey","given":"Abhilasha","non-dropping-particle":"","parse-names":false,"suffix":""},{"dropping-particle":"","family":"Shrestha","given":"Shrijana","non-dropping-particle":"","parse-names":false,"suffix":""},{"dropping-particle":"","family":"Basnyat","given":"Buddha","non-dropping-particle":"","parse-names":false,"suffix":""},{"dropping-particle":"","family":"Hill","given":"Jennifer","non-dropping-particle":"","parse-names":false,"suffix":""},{"dropping-particle":"","family":"Pollard","given":"Andrew J.","non-dropping-particle":"","parse-names":false,"suffix":""}],"container-title":"Frontiers in Tropical Diseases","id":"ITEM-1","issued":{"date-parts":[["2021","9","16"]]},"publisher":"Frontiers Media SA","title":"Association of Antibody-Dependent Neutrophil Phagocytosis With Distinct Antibody Glycosylation Profiles Following Typhoid Vaccination","type":"article-journal","volume":"2"},"uris":["http://www.mendeley.com/documents/?uuid=1ff9af20-97d0-37c6-9af7-208986120f0c"]}],"mendeley":{"formattedCitation":"(2)","plainTextFormattedCitation":"(2)","previouslyFormattedCitation":"(2)"},"properties":{"noteIndex":0},"schema":"https://github.com/citation-style-language/schema/raw/master/csl-citation.json"}</w:instrText>
      </w:r>
      <w:r w:rsidRPr="00C77791">
        <w:fldChar w:fldCharType="separate"/>
      </w:r>
      <w:r w:rsidRPr="00601DCF">
        <w:rPr>
          <w:noProof/>
        </w:rPr>
        <w:t>(2)</w:t>
      </w:r>
      <w:r w:rsidRPr="00C77791">
        <w:fldChar w:fldCharType="end"/>
      </w:r>
      <w:r w:rsidRPr="00C45931">
        <w:t>.</w:t>
      </w:r>
      <w:r>
        <w:t xml:space="preserve"> Methods for ADCD and ADCP are described by Barouche </w:t>
      </w:r>
      <w:r>
        <w:rPr>
          <w:i/>
        </w:rPr>
        <w:t xml:space="preserve">et al </w:t>
      </w:r>
      <w:r>
        <w:t xml:space="preserve"> </w:t>
      </w:r>
      <w:r>
        <w:fldChar w:fldCharType="begin" w:fldLock="1"/>
      </w:r>
      <w:r>
        <w:instrText>ADDIN CSL_CITATION {"citationItems":[{"id":"ITEM-1","itemData":{"DOI":"10.1126/science.aab3886.Protective","author":[{"dropping-particle":"","family":"Barouch","given":"Dan H","non-dropping-particle":"","parse-names":false,"suffix":""},{"dropping-particle":"","family":"Alter","given":"Galit","non-dropping-particle":"","parse-names":false,"suffix":""},{"dropping-particle":"","family":"Broge","given":"Thomas","non-dropping-particle":"","parse-names":false,"suffix":""},{"dropping-particle":"","family":"Linde","given":"Caitlyn","non-dropping-particle":"","parse-names":false,"suffix":""},{"dropping-particle":"","family":"Ackerman","given":"Margaret E","non-dropping-particle":"","parse-names":false,"suffix":""},{"dropping-particle":"","family":"Brown","given":"Eric P","non-dropping-particle":"","parse-names":false,"suffix":""},{"dropping-particle":"","family":"Borducchi","given":"Erica N","non-dropping-particle":"","parse-names":false,"suffix":""},{"dropping-particle":"","family":"Smith","given":"Kaitlin M","non-dropping-particle":"","parse-names":false,"suffix":""},{"dropping-particle":"","family":"Nkolola","given":"Joseph P","non-dropping-particle":"","parse-names":false,"suffix":""},{"dropping-particle":"","family":"Liu","given":"Jinyan","non-dropping-particle":"","parse-names":false,"suffix":""},{"dropping-particle":"","family":"Shields","given":"Jennifer","non-dropping-particle":"","parse-names":false,"suffix":""},{"dropping-particle":"","family":"Parenteau","given":"Lily","non-dropping-particle":"","parse-names":false,"suffix":""},{"dropping-particle":"","family":"Whitney","given":"James B","non-dropping-particle":"","parse-names":false,"suffix":""},{"dropping-particle":"","family":"Abbink","given":"Peter","non-dropping-particle":"","parse-names":false,"suffix":""},{"dropping-particle":"","family":"Ng","given":"David M","non-dropping-particle":"","parse-names":false,"suffix":""},{"dropping-particle":"","family":"Seaman","given":"Michael S","non-dropping-particle":"","parse-names":false,"suffix":""},{"dropping-particle":"","family":"Lavine","given":"Christy L","non-dropping-particle":"","parse-names":false,"suffix":""},{"dropping-particle":"","family":"Perry","given":"James R","non-dropping-particle":"","parse-names":false,"suffix":""},{"dropping-particle":"","family":"Li","given":"Wenjun","non-dropping-particle":"","parse-names":false,"suffix":""},{"dropping-particle":"","family":"Arnaud","given":"D","non-dropping-particle":"","parse-names":false,"suffix":""},{"dropping-particle":"","family":"Lewis","given":"Mark G","non-dropping-particle":"","parse-names":false,"suffix":""},{"dropping-particle":"","family":"Chen","given":"Bing","non-dropping-particle":"","parse-names":false,"suffix":""},{"dropping-particle":"","family":"Wenschuh","given":"Holger","non-dropping-particle":"","parse-names":false,"suffix":""},{"dropping-particle":"","family":"Reimer","given":"Ulf","non-dropping-particle":"","parse-names":false,"suffix":""},{"dropping-particle":"","family":"Lifson","given":"Jeffrey D","non-dropping-particle":"","parse-names":false,"suffix":""},{"dropping-particle":"","family":"Handley","given":"Scott A","non-dropping-particle":"","parse-names":false,"suffix":""},{"dropping-particle":"","family":"Virgin","given":"Herbert W","non-dropping-particle":"","parse-names":false,"suffix":""}],"container-title":"Science","id":"ITEM-1","issue":"6245","issued":{"date-parts":[["2015"]]},"page":"320-324","title":"Protective Efficacy of Adenovirus/Protein Vaccines Against SIV Challenges in Rhesus Monkeys","type":"article-journal","volume":"349"},"uris":["http://www.mendeley.com/documents/?uuid=c3f579d1-555d-4b6a-af5f-8969cbae01d2"]}],"mendeley":{"formattedCitation":"(3)","plainTextFormattedCitation":"(3)","previouslyFormattedCitation":"(3)"},"properties":{"noteIndex":0},"schema":"https://github.com/citation-style-language/schema/raw/master/csl-citation.json"}</w:instrText>
      </w:r>
      <w:r>
        <w:fldChar w:fldCharType="separate"/>
      </w:r>
      <w:r w:rsidRPr="00ED4DCA">
        <w:rPr>
          <w:noProof/>
        </w:rPr>
        <w:t>(3)</w:t>
      </w:r>
      <w:r>
        <w:fldChar w:fldCharType="end"/>
      </w:r>
      <w:r>
        <w:t xml:space="preserve">, and ADNP and ADNOB by Ackerman </w:t>
      </w:r>
      <w:r>
        <w:rPr>
          <w:i/>
        </w:rPr>
        <w:t xml:space="preserve">et al </w:t>
      </w:r>
      <w:r>
        <w:rPr>
          <w:i/>
        </w:rPr>
        <w:fldChar w:fldCharType="begin" w:fldLock="1"/>
      </w:r>
      <w:r>
        <w:rPr>
          <w:i/>
        </w:rPr>
        <w:instrText>ADDIN CSL_CITATION {"citationItems":[{"id":"ITEM-1","itemData":{"DOI":"10.1016/j.jim.2010.12.016.A","ISBN":"0471142735","abstract":"Phagocytosis can be induced via the engagement of Fcγ receptors by antibody-opsonized material. Furthermore, the efficiency of antibody-induced effector functions has been shown to be dramatically modulated by changes in antibody glycosylation. Because infection can modulate antibody glycans, which in turn modulate antibody functions, assays capable of determining the induction of effector functions rather than neutralization or titer provide a valuable opportunity to more fully characterize the quality of the adaptive immune response. Here we describe a robust and high-throughput flow cytometric assay to define the phagocytic activity of antigen-specific antibodies from clinical samples. This assay employs a monocytic cell line that expresses numerous Fc receptors: including inhibitory and activating, and high and low affinity receptors— allowing complex phenotypes to be studied. We demonstrate the adaptability of this high- throughput, flow-based assay to measure antigen-specific antibody-mediated phagocytosis against an array of viruses, including influenza, HIV, and dengue. The phagocytosis assay format further allows for simultaneous analysis of cytokine release, as well as determination of the role of specific Fcγ-receptor subtypes, making it a highly useful system for parsing differences in the ability of clinical and vaccine induced antibody samples to recruit this critical effector function.","author":[{"dropping-particle":"","family":"Ackerman","given":"Margaret E","non-dropping-particle":"","parse-names":false,"suffix":""},{"dropping-particle":"","family":"Moldt","given":"Brian","non-dropping-particle":"","parse-names":false,"suffix":""},{"dropping-particle":"","family":"Wyatt","given":"Richard T","non-dropping-particle":"","parse-names":false,"suffix":""},{"dropping-particle":"","family":"Dugast","given":"Anne-sophie","non-dropping-particle":"","parse-names":false,"suffix":""},{"dropping-particle":"","family":"Tsoukas","given":"Stephen","non-dropping-particle":"","parse-names":false,"suffix":""},{"dropping-particle":"","family":"Jost","given":"Stephanie","non-dropping-particle":"","parse-names":false,"suffix":""},{"dropping-particle":"","family":"Berger","given":"Christoph T","non-dropping-particle":"","parse-names":false,"suffix":""},{"dropping-particle":"","family":"Liu","given":"Qingquan","non-dropping-particle":"","parse-names":false,"suffix":""},{"dropping-particle":"","family":"Irvine","given":"Darrell J","non-dropping-particle":"","parse-names":false,"suffix":""},{"dropping-particle":"","family":"Burton","given":"Dennis R","non-dropping-particle":"","parse-names":false,"suffix":""},{"dropping-particle":"","family":"Alter","given":"Galit","non-dropping-particle":"","parse-names":false,"suffix":""},{"dropping-particle":"","family":"Manuscript","given":"Author","non-dropping-particle":"","parse-names":false,"suffix":""},{"dropping-particle":"","family":"Ackerman","given":"Margaret E","non-dropping-particle":"","parse-names":false,"suffix":""},{"dropping-particle":"","family":"Moldt","given":"Brian","non-dropping-particle":"","parse-names":false,"suffix":""},{"dropping-particle":"","family":"Wyatt","given":"Richard T","non-dropping-particle":"","parse-names":false,"suffix":""},{"dropping-particle":"","family":"Dugast","given":"Anne-sophie","non-dropping-particle":"","parse-names":false,"suffix":""},{"dropping-particle":"","family":"Tsoukas","given":"Stephen","non-dropping-particle":"","parse-names":false,"suffix":""},{"dropping-particle":"","family":"Jost","given":"Stephanie","non-dropping-particle":"","parse-names":false,"suffix":""},{"dropping-particle":"","family":"Berger","given":"Christoph T","non-dropping-particle":"","parse-names":false,"suffix":""},{"dropping-particle":"","family":"Liu","given":"Qingquan","non-dropping-particle":"","parse-names":false,"suffix":""},{"dropping-particle":"","family":"Irvine","given":"Darrell J","non-dropping-particle":"","parse-names":false,"suffix":""},{"dropping-particle":"","family":"Burton","given":"Dennis R","non-dropping-particle":"","parse-names":false,"suffix":""},{"dropping-particle":"","family":"Alter","given":"Galit","non-dropping-particle":"","parse-names":false,"suffix":""}],"container-title":"J Immunol Methods","id":"ITEM-1","issued":{"date-parts":[["2011"]]},"page":"8-19","title":"A robust, high-throughput assay to determine the phagocytic activity of clinical antibody samples","type":"article-journal","volume":"366"},"uris":["http://www.mendeley.com/documents/?uuid=72bc677e-fa11-4552-b74a-ef171d516ed9"]}],"mendeley":{"formattedCitation":"(4)","plainTextFormattedCitation":"(4)"},"properties":{"noteIndex":0},"schema":"https://github.com/citation-style-language/schema/raw/master/csl-citation.json"}</w:instrText>
      </w:r>
      <w:r>
        <w:rPr>
          <w:i/>
        </w:rPr>
        <w:fldChar w:fldCharType="separate"/>
      </w:r>
      <w:r w:rsidRPr="00ED4DCA">
        <w:rPr>
          <w:noProof/>
        </w:rPr>
        <w:t>(4)</w:t>
      </w:r>
      <w:r>
        <w:rPr>
          <w:i/>
        </w:rPr>
        <w:fldChar w:fldCharType="end"/>
      </w:r>
      <w:r>
        <w:t>.</w:t>
      </w:r>
      <w:r w:rsidRPr="00C45931">
        <w:t xml:space="preserve"> M</w:t>
      </w:r>
      <w:r>
        <w:t xml:space="preserve">ean </w:t>
      </w:r>
      <w:r w:rsidRPr="00C45931">
        <w:t>F</w:t>
      </w:r>
      <w:r>
        <w:t xml:space="preserve">luorescence </w:t>
      </w:r>
      <w:r w:rsidRPr="00C45931">
        <w:t>I</w:t>
      </w:r>
      <w:r>
        <w:t>ntensities</w:t>
      </w:r>
      <w:r w:rsidRPr="00C45931">
        <w:t xml:space="preserve"> </w:t>
      </w:r>
      <w:r>
        <w:t xml:space="preserve">(MFIs) </w:t>
      </w:r>
      <w:r w:rsidRPr="00C45931">
        <w:t>were reported after</w:t>
      </w:r>
      <w:r>
        <w:t xml:space="preserve"> background </w:t>
      </w:r>
      <w:r w:rsidRPr="00C45931">
        <w:t>subtraction</w:t>
      </w:r>
      <w:r>
        <w:t>, and r</w:t>
      </w:r>
      <w:r w:rsidRPr="00C45931">
        <w:t>esults were calculated from the</w:t>
      </w:r>
      <w:r>
        <w:t xml:space="preserve"> </w:t>
      </w:r>
      <w:r w:rsidRPr="00C45931">
        <w:t>mean result of sample replicates across two assay runs. Data</w:t>
      </w:r>
      <w:r>
        <w:t xml:space="preserve"> </w:t>
      </w:r>
      <w:r w:rsidRPr="00C45931">
        <w:t>were acquired on an S1000EXi cytometer (</w:t>
      </w:r>
      <w:proofErr w:type="spellStart"/>
      <w:r w:rsidRPr="00C45931">
        <w:t>Stratedigm</w:t>
      </w:r>
      <w:proofErr w:type="spellEnd"/>
      <w:r w:rsidRPr="00C45931">
        <w:t>) and</w:t>
      </w:r>
      <w:r>
        <w:t xml:space="preserve"> </w:t>
      </w:r>
      <w:proofErr w:type="spellStart"/>
      <w:r w:rsidRPr="00C45931">
        <w:t>analyzed</w:t>
      </w:r>
      <w:proofErr w:type="spellEnd"/>
      <w:r w:rsidRPr="00C45931">
        <w:t xml:space="preserve"> using </w:t>
      </w:r>
      <w:proofErr w:type="spellStart"/>
      <w:r w:rsidRPr="00C45931">
        <w:t>FlowJo</w:t>
      </w:r>
      <w:proofErr w:type="spellEnd"/>
      <w:r w:rsidRPr="00C45931">
        <w:t xml:space="preserve"> v10.6 software.</w:t>
      </w:r>
      <w:r>
        <w:t xml:space="preserve"> Data from the UK cohort have been previously reported by Jin et al </w:t>
      </w:r>
      <w:r>
        <w:fldChar w:fldCharType="begin" w:fldLock="1"/>
      </w:r>
      <w:r>
        <w:instrText>ADDIN CSL_CITATION {"citationItems":[{"id":"ITEM-1","itemData":{"DOI":"10.1084/jem.20201116","ISSN":"15409538","PMID":"33180929","abstract":"Typhoid Vi vaccines have been shown to be efficacious in children living in endemic regions; however, a widely accepted correlate of protection remains to be established. We applied a systems serology approach to identify Vi-specific serological correlates of protection using samples obtained from participants enrolled in an experimental controlled human infection study. Participants were vaccinated with Vi-tetanus toxoid conjugate (Vi-TT) or unconjugated Vi-polysaccharide (Vi-PS) vaccines and were subsequently challenged with Salmonella Typhi bacteria. Multivariate analyses identified distinct protective signatures for Vi-TT and Vi-PS vaccines in addition to shared features that predicted protection across both groups. Vi IgA quantity and avidity correlated with protection from S. Typhi infection, whereas higher fold increases in Vi IgG responses were associated with reduced disease severity. Targeted antibody-mediated functional responses, particularly neutrophil phagocytosis, were also identified as important components of the protective signature. These humoral markers could be used to evaluate and develop efficacious Vi-conjugate vaccines and assist with accelerating vaccine availability to typhoid-endemic regions.","author":[{"dropping-particle":"","family":"Jin","given":"Celina","non-dropping-particle":"","parse-names":false,"suffix":""},{"dropping-particle":"","family":"Hill","given":"Jennifer","non-dropping-particle":"","parse-names":false,"suffix":""},{"dropping-particle":"","family":"Gunn","given":"Bronwyn M.","non-dropping-particle":"","parse-names":false,"suffix":""},{"dropping-particle":"","family":"Yu","given":"Wen Han","non-dropping-particle":"","parse-names":false,"suffix":""},{"dropping-particle":"","family":"Dahora","given":"Lindsay C.","non-dropping-particle":"","parse-names":false,"suffix":""},{"dropping-particle":"","family":"Jones","given":"Elizabeth","non-dropping-particle":"","parse-names":false,"suffix":""},{"dropping-particle":"","family":"Johnson","given":"Mari","non-dropping-particle":"","parse-names":false,"suffix":""},{"dropping-particle":"","family":"Gibani","given":"Malick M.","non-dropping-particle":"","parse-names":false,"suffix":""},{"dropping-particle":"","family":"Spreng","given":"Rachel L.","non-dropping-particle":"","parse-names":false,"suffix":""},{"dropping-particle":"","family":"Alam","given":"S. Munir","non-dropping-particle":"","parse-names":false,"suffix":""},{"dropping-particle":"","family":"Nebykova","given":"Anna","non-dropping-particle":"","parse-names":false,"suffix":""},{"dropping-particle":"","family":"Juel","given":"Helene B.","non-dropping-particle":"","parse-names":false,"suffix":""},{"dropping-particle":"","family":"Dennison","given":"S. Moses","non-dropping-particle":"","parse-names":false,"suffix":""},{"dropping-particle":"","family":"Seaton","given":"Kelly E.","non-dropping-particle":"","parse-names":false,"suffix":""},{"dropping-particle":"","family":"Fallon","given":"Jonathan K.","non-dropping-particle":"","parse-names":false,"suffix":""},{"dropping-particle":"","family":"Tomaras","given":"Georgia D.","non-dropping-particle":"","parse-names":false,"suffix":""},{"dropping-particle":"","family":"Alter","given":"Galit","non-dropping-particle":"","parse-names":false,"suffix":""},{"dropping-particle":"","family":"Pollard","given":"Andrew J.","non-dropping-particle":"","parse-names":false,"suffix":""}],"container-title":"The Journal of experimental medicine","id":"ITEM-1","issue":"2","issued":{"date-parts":[["2021"]]},"title":"Vi-specific serological correlates of protection for typhoid fever","type":"article-journal","volume":"218"},"uris":["http://www.mendeley.com/documents/?uuid=acadfb31-c2f6-4e6a-a17b-eaf450d33e6e"]}],"mendeley":{"formattedCitation":"(1)","plainTextFormattedCitation":"(1)","previouslyFormattedCitation":"(1)"},"properties":{"noteIndex":0},"schema":"https://github.com/citation-style-language/schema/raw/master/csl-citation.json"}</w:instrText>
      </w:r>
      <w:r>
        <w:fldChar w:fldCharType="separate"/>
      </w:r>
      <w:r w:rsidRPr="00601DCF">
        <w:rPr>
          <w:noProof/>
        </w:rPr>
        <w:t>(1)</w:t>
      </w:r>
      <w:r>
        <w:fldChar w:fldCharType="end"/>
      </w:r>
      <w:r>
        <w:t xml:space="preserve">. </w:t>
      </w:r>
      <w:r w:rsidRPr="0017520B">
        <w:t>Luminescent-Serum Bactericidal Activity Assay</w:t>
      </w:r>
      <w:r>
        <w:t xml:space="preserve"> (SBA) was carried out as per previously described method and the data from the UK cohort have been described in Jones </w:t>
      </w:r>
      <w:r>
        <w:rPr>
          <w:i/>
          <w:iCs/>
        </w:rPr>
        <w:t xml:space="preserve">et al </w:t>
      </w:r>
      <w:r>
        <w:rPr>
          <w:i/>
          <w:iCs/>
        </w:rPr>
        <w:fldChar w:fldCharType="begin" w:fldLock="1"/>
      </w:r>
      <w:r>
        <w:rPr>
          <w:i/>
          <w:iCs/>
        </w:rPr>
        <w:instrText>ADDIN CSL_CITATION {"citationItems":[{"id":"ITEM-1","itemData":{"DOI":"10.3390/microorganisms9071394","ISSN":"20762607","abstract":"Vi-polysaccharide conjugate vaccines are efficacious against typhoid fever in children living in endemic settings, their recent deployment is a promising step in the control of typhoid fever. However, there is currently no accepted correlate of protection. IgG and IgA antibodies generated in response to Vi conjugate or Vi plain polysaccharide vaccination are important but there are no definitive protective titre thresholds. We adapted a luminescence-based serum bactericidal activity (SBA) for use with S. Typhi and assessed whether bactericidal antibodies induced by either Vi tetanus toxoid conjugate (Vi-TT) or Vi plain polysaccharide (Vi-PS) were associated with protection in a controlled human infection model of typhoid fever. Both Vi-PS and Vi-TT induced significant increase in SBA titre after 28 days (Vi-PS; p &lt; 0.0001, Vi-TT; p = 0.003), however higher SBA titre at the point of challenge did not correlate with protection from infection or reduced symptom severity. We cannot eliminate the role of SBA as part of a multifactorial immune response which protects against infection, however, our results do not support a strong role for SBA as a mechanism of Vi vaccine mediated protection in the CHIM setting.","author":[{"dropping-particle":"","family":"Jones","given":"Elizabeth","non-dropping-particle":"","parse-names":false,"suffix":""},{"dropping-particle":"","family":"Jin","given":"Celina","non-dropping-particle":"","parse-names":false,"suffix":""},{"dropping-particle":"","family":"Stockdale","given":"Lisa","non-dropping-particle":"","parse-names":false,"suffix":""},{"dropping-particle":"","family":"Dold","given":"Christina","non-dropping-particle":"","parse-names":false,"suffix":""},{"dropping-particle":"","family":"Pollard","given":"Andrew J.","non-dropping-particle":"","parse-names":false,"suffix":""},{"dropping-particle":"","family":"Hill","given":"Jennifer","non-dropping-particle":"","parse-names":false,"suffix":""}],"container-title":"Microorganisms","id":"ITEM-1","issue":"7","issued":{"date-parts":[["2021","7","1"]]},"publisher":"MDPI AG","title":"A salmonella typhi controlled human infection study for assessing correlation between bactericidal antibodies and protection against infection induced by typhoid vaccination","type":"article-journal","volume":"9"},"uris":["http://www.mendeley.com/documents/?uuid=c0c96201-2823-4fe7-ab28-64c339f0f9ab"]}],"mendeley":{"formattedCitation":"(5)","plainTextFormattedCitation":"(5)","previouslyFormattedCitation":"(4)"},"properties":{"noteIndex":0},"schema":"https://github.com/citation-style-language/schema/raw/master/csl-citation.json"}</w:instrText>
      </w:r>
      <w:r>
        <w:rPr>
          <w:i/>
          <w:iCs/>
        </w:rPr>
        <w:fldChar w:fldCharType="separate"/>
      </w:r>
      <w:r w:rsidRPr="00ED4DCA">
        <w:rPr>
          <w:iCs/>
          <w:noProof/>
        </w:rPr>
        <w:t>(5)</w:t>
      </w:r>
      <w:r>
        <w:rPr>
          <w:i/>
          <w:iCs/>
        </w:rPr>
        <w:fldChar w:fldCharType="end"/>
      </w:r>
      <w:r>
        <w:t xml:space="preserve"> </w:t>
      </w:r>
      <w:r>
        <w:rPr>
          <w:rStyle w:val="CommentReference"/>
        </w:rPr>
        <w:t>.</w:t>
      </w:r>
    </w:p>
    <w:p w:rsidR="0020578C" w:rsidRDefault="0020578C" w:rsidP="0020578C">
      <w:pPr>
        <w:spacing w:line="360" w:lineRule="auto"/>
      </w:pPr>
    </w:p>
    <w:p w:rsidR="0020578C" w:rsidRDefault="0020578C" w:rsidP="0020578C">
      <w:pPr>
        <w:pStyle w:val="Heading2"/>
      </w:pPr>
      <w:r w:rsidRPr="00C45931">
        <w:t>ADCD</w:t>
      </w:r>
      <w:r>
        <w:t xml:space="preserve"> (antibody dependent</w:t>
      </w:r>
      <w:r w:rsidRPr="00343C53">
        <w:t xml:space="preserve"> </w:t>
      </w:r>
      <w:r>
        <w:t>complement deposition)</w:t>
      </w:r>
    </w:p>
    <w:p w:rsidR="0020578C" w:rsidRPr="004E6822" w:rsidRDefault="0020578C" w:rsidP="0020578C"/>
    <w:p w:rsidR="0020578C" w:rsidRDefault="0020578C" w:rsidP="0020578C">
      <w:pPr>
        <w:spacing w:line="360" w:lineRule="auto"/>
      </w:pPr>
      <w:r>
        <w:t>S</w:t>
      </w:r>
      <w:r w:rsidRPr="00C45931">
        <w:t>erum samples were</w:t>
      </w:r>
      <w:r>
        <w:t xml:space="preserve"> h</w:t>
      </w:r>
      <w:r w:rsidRPr="00C45931">
        <w:t>eat-inactivated</w:t>
      </w:r>
      <w:r>
        <w:t>,</w:t>
      </w:r>
      <w:r w:rsidRPr="00C45931">
        <w:t xml:space="preserve"> diluted 1:10 and incubated</w:t>
      </w:r>
      <w:r>
        <w:t xml:space="preserve"> </w:t>
      </w:r>
      <w:r w:rsidRPr="00C45931">
        <w:t xml:space="preserve">at 37°C for 2 h with red fluorescent </w:t>
      </w:r>
      <w:proofErr w:type="spellStart"/>
      <w:r w:rsidRPr="00C45931">
        <w:t>NeutrAvidin</w:t>
      </w:r>
      <w:proofErr w:type="spellEnd"/>
      <w:r w:rsidRPr="00C45931">
        <w:t>-coated micro-spheres (Thermo Fisher Scientific)</w:t>
      </w:r>
      <w:r>
        <w:t xml:space="preserve"> which had been previously</w:t>
      </w:r>
      <w:r w:rsidRPr="00C45931">
        <w:t xml:space="preserve"> coated with biotinylated Vi-antigen (provided by </w:t>
      </w:r>
      <w:proofErr w:type="spellStart"/>
      <w:r w:rsidRPr="00C45931">
        <w:t>Dr.</w:t>
      </w:r>
      <w:proofErr w:type="spellEnd"/>
      <w:r w:rsidRPr="00C45931">
        <w:t xml:space="preserve"> Sjoerd Rijpkema, NIBSC, Potters </w:t>
      </w:r>
      <w:proofErr w:type="spellStart"/>
      <w:proofErr w:type="gramStart"/>
      <w:r w:rsidRPr="00C45931">
        <w:t>Bar,UK</w:t>
      </w:r>
      <w:proofErr w:type="spellEnd"/>
      <w:proofErr w:type="gramEnd"/>
      <w:r w:rsidRPr="00C45931">
        <w:t>) in 96-well round-bottom plates. Guinea pig complement</w:t>
      </w:r>
      <w:r>
        <w:t xml:space="preserve"> </w:t>
      </w:r>
      <w:r w:rsidRPr="00C45931">
        <w:t>(</w:t>
      </w:r>
      <w:proofErr w:type="spellStart"/>
      <w:r w:rsidRPr="00C45931">
        <w:t>Cedarlane</w:t>
      </w:r>
      <w:proofErr w:type="spellEnd"/>
      <w:r w:rsidRPr="00C45931">
        <w:t xml:space="preserve">), reconstituted in </w:t>
      </w:r>
      <w:proofErr w:type="spellStart"/>
      <w:r w:rsidRPr="00C45931">
        <w:t>veronal</w:t>
      </w:r>
      <w:proofErr w:type="spellEnd"/>
      <w:r w:rsidRPr="00C45931">
        <w:t xml:space="preserve"> buffer with 0.1% </w:t>
      </w:r>
      <w:proofErr w:type="spellStart"/>
      <w:r w:rsidRPr="00C45931">
        <w:t>gelatin</w:t>
      </w:r>
      <w:proofErr w:type="spellEnd"/>
      <w:r w:rsidRPr="00C45931">
        <w:t>,</w:t>
      </w:r>
      <w:r>
        <w:t xml:space="preserve"> </w:t>
      </w:r>
      <w:r w:rsidRPr="00C45931">
        <w:t>was added and incubated at 37°C for a further 20 min. Beads</w:t>
      </w:r>
      <w:r>
        <w:t xml:space="preserve"> </w:t>
      </w:r>
      <w:r w:rsidRPr="00C45931">
        <w:t>were washed twice with 15 mM EDTA in PBS. FITC-conjugated</w:t>
      </w:r>
      <w:r>
        <w:t xml:space="preserve"> </w:t>
      </w:r>
      <w:r w:rsidRPr="00C45931">
        <w:t xml:space="preserve">goat anti–guinea pig </w:t>
      </w:r>
      <w:proofErr w:type="gramStart"/>
      <w:r w:rsidRPr="00C45931">
        <w:t>complement</w:t>
      </w:r>
      <w:proofErr w:type="gramEnd"/>
      <w:r w:rsidRPr="00C45931">
        <w:t xml:space="preserve"> C3b antibody (MP Biomedical)</w:t>
      </w:r>
      <w:r>
        <w:t xml:space="preserve"> </w:t>
      </w:r>
      <w:r w:rsidRPr="00C45931">
        <w:t xml:space="preserve">was added and incubated in the dark for 15 min at room temperature. Beads were washed, resuspended in PBS, and </w:t>
      </w:r>
      <w:r>
        <w:t xml:space="preserve">analysed </w:t>
      </w:r>
      <w:r w:rsidRPr="00C45931">
        <w:t xml:space="preserve">using flow cytometry.  FITC MFIs </w:t>
      </w:r>
      <w:proofErr w:type="gramStart"/>
      <w:r w:rsidRPr="00C45931">
        <w:t>were  measured</w:t>
      </w:r>
      <w:proofErr w:type="gramEnd"/>
      <w:r w:rsidRPr="00C45931">
        <w:t xml:space="preserve">  for  each</w:t>
      </w:r>
      <w:r>
        <w:t xml:space="preserve"> </w:t>
      </w:r>
      <w:r w:rsidRPr="00C45931">
        <w:t>sample.</w:t>
      </w:r>
      <w:r>
        <w:t xml:space="preserve"> </w:t>
      </w:r>
    </w:p>
    <w:p w:rsidR="0020578C" w:rsidRDefault="0020578C" w:rsidP="0020578C">
      <w:pPr>
        <w:spacing w:line="360" w:lineRule="auto"/>
      </w:pPr>
    </w:p>
    <w:p w:rsidR="0020578C" w:rsidRDefault="0020578C" w:rsidP="0020578C">
      <w:pPr>
        <w:pStyle w:val="Heading2"/>
      </w:pPr>
      <w:r w:rsidRPr="00C45931">
        <w:t>ADCP</w:t>
      </w:r>
      <w:r>
        <w:t xml:space="preserve"> (antibody dependent</w:t>
      </w:r>
      <w:r w:rsidRPr="00343C53">
        <w:t xml:space="preserve"> </w:t>
      </w:r>
      <w:r>
        <w:t>cellular phagocytosis)</w:t>
      </w:r>
    </w:p>
    <w:p w:rsidR="0020578C" w:rsidRPr="00CB40D3" w:rsidRDefault="0020578C" w:rsidP="0020578C"/>
    <w:p w:rsidR="0020578C" w:rsidRDefault="0020578C" w:rsidP="0020578C">
      <w:pPr>
        <w:spacing w:line="360" w:lineRule="auto"/>
      </w:pPr>
      <w:r w:rsidRPr="00C45931">
        <w:lastRenderedPageBreak/>
        <w:t>ADCP was assessed by quantifying phagocytosis of antibody-opsonized Vi-coated fluorescent microspheres using monocyte</w:t>
      </w:r>
      <w:r>
        <w:t xml:space="preserve"> </w:t>
      </w:r>
      <w:r w:rsidRPr="00C45931">
        <w:t>cell line THP-1 (IB-202; American Type Culture Collection). Serum</w:t>
      </w:r>
      <w:r>
        <w:t xml:space="preserve"> </w:t>
      </w:r>
      <w:r w:rsidRPr="00C45931">
        <w:t xml:space="preserve">samples were diluted 1:250 and incubated with </w:t>
      </w:r>
      <w:proofErr w:type="spellStart"/>
      <w:r w:rsidRPr="00C45931">
        <w:t>NeutrAvidin</w:t>
      </w:r>
      <w:proofErr w:type="spellEnd"/>
      <w:r w:rsidRPr="00C45931">
        <w:t>-</w:t>
      </w:r>
      <w:proofErr w:type="gramStart"/>
      <w:r w:rsidRPr="00C45931">
        <w:t>coated  yellow</w:t>
      </w:r>
      <w:proofErr w:type="gramEnd"/>
      <w:r w:rsidRPr="00C45931">
        <w:t>-green  1-μm  fluorescent  microspheres  coupled</w:t>
      </w:r>
      <w:r>
        <w:t xml:space="preserve"> </w:t>
      </w:r>
      <w:r w:rsidRPr="00C45931">
        <w:t>with biotinylated Vi-antigen. 2.5 × 10</w:t>
      </w:r>
      <w:r w:rsidRPr="00ED4DCA">
        <w:rPr>
          <w:vertAlign w:val="superscript"/>
        </w:rPr>
        <w:t>4</w:t>
      </w:r>
      <w:r>
        <w:t xml:space="preserve"> </w:t>
      </w:r>
      <w:r w:rsidRPr="00C45931">
        <w:t>THP-1 cells (American Type</w:t>
      </w:r>
      <w:r>
        <w:t xml:space="preserve"> </w:t>
      </w:r>
      <w:r w:rsidRPr="00C45931">
        <w:t>Culture Collection) were added to each well and incubated overnight at 37°C. Cells were pelleted,</w:t>
      </w:r>
      <w:r>
        <w:t xml:space="preserve"> </w:t>
      </w:r>
      <w:r w:rsidRPr="00C45931">
        <w:t>fixed with 4% paraformaldehyde</w:t>
      </w:r>
      <w:r>
        <w:t xml:space="preserve"> </w:t>
      </w:r>
      <w:r w:rsidRPr="00C45931">
        <w:t xml:space="preserve">(PFA), and </w:t>
      </w:r>
      <w:proofErr w:type="spellStart"/>
      <w:r w:rsidRPr="00C45931">
        <w:t>analyzed</w:t>
      </w:r>
      <w:proofErr w:type="spellEnd"/>
      <w:r w:rsidRPr="00C45931">
        <w:t xml:space="preserve"> using flow cytometry. A phagocytic score was</w:t>
      </w:r>
      <w:r>
        <w:t xml:space="preserve"> </w:t>
      </w:r>
      <w:r w:rsidRPr="00C45931">
        <w:t>calculated using the mean MFI for each sample and the following</w:t>
      </w:r>
      <w:r>
        <w:t xml:space="preserve"> </w:t>
      </w:r>
      <w:r w:rsidRPr="00C45931">
        <w:t>formula: [(% microsphere-positive cells) × (MFI of microsphere-positive cells)]/10,000.</w:t>
      </w:r>
    </w:p>
    <w:p w:rsidR="0020578C" w:rsidRDefault="0020578C" w:rsidP="0020578C">
      <w:pPr>
        <w:spacing w:line="360" w:lineRule="auto"/>
      </w:pPr>
    </w:p>
    <w:p w:rsidR="0020578C" w:rsidRDefault="0020578C" w:rsidP="0020578C">
      <w:pPr>
        <w:pStyle w:val="Heading2"/>
      </w:pPr>
      <w:r>
        <w:t>ADNP (antibody dependent neutrophil phagocytosis)</w:t>
      </w:r>
    </w:p>
    <w:p w:rsidR="0020578C" w:rsidRPr="004E6822" w:rsidRDefault="0020578C" w:rsidP="0020578C"/>
    <w:p w:rsidR="0020578C" w:rsidRDefault="0020578C" w:rsidP="0020578C">
      <w:pPr>
        <w:spacing w:line="360" w:lineRule="auto"/>
      </w:pPr>
      <w:proofErr w:type="gramStart"/>
      <w:r w:rsidRPr="00C45931">
        <w:t>ADNP  was</w:t>
      </w:r>
      <w:proofErr w:type="gramEnd"/>
      <w:r w:rsidRPr="00C45931">
        <w:t xml:space="preserve">  assessed  by  measuring  the  uptake  of  antibody-opsonized  Vi-coated  fluorescent  microspheres  using  freshly</w:t>
      </w:r>
      <w:r>
        <w:t xml:space="preserve"> </w:t>
      </w:r>
      <w:r w:rsidRPr="00C45931">
        <w:t xml:space="preserve">isolated neutrophils. Serum samples, diluted 1:100, were incubated with </w:t>
      </w:r>
      <w:proofErr w:type="spellStart"/>
      <w:r w:rsidRPr="00C45931">
        <w:t>NeutrAvidin</w:t>
      </w:r>
      <w:proofErr w:type="spellEnd"/>
      <w:r w:rsidRPr="00C45931">
        <w:t>-coated yellow-green 1-μm fluorescent</w:t>
      </w:r>
      <w:r>
        <w:t xml:space="preserve"> </w:t>
      </w:r>
      <w:r w:rsidRPr="00C45931">
        <w:t>microspheres coupled with biotinylated Vi-antigen. Leukocytes</w:t>
      </w:r>
      <w:r>
        <w:t xml:space="preserve"> </w:t>
      </w:r>
      <w:r w:rsidRPr="00C45931">
        <w:t>were isolated from acid citrate dextrose–treated fresh blood</w:t>
      </w:r>
      <w:r>
        <w:t xml:space="preserve"> </w:t>
      </w:r>
      <w:r w:rsidRPr="00C45931">
        <w:t>from healthy anonymized donors using ammonium-chloride-potassium lysis buffer. 5 × 104leukocytes were added to each</w:t>
      </w:r>
      <w:r>
        <w:t xml:space="preserve"> </w:t>
      </w:r>
      <w:r w:rsidRPr="00C45931">
        <w:t>well containing antibody-opsonized beads and incubated for 1 hat 37°C. Cells were pelleted, the supernatant was removed, and</w:t>
      </w:r>
      <w:r>
        <w:t xml:space="preserve"> </w:t>
      </w:r>
      <w:r w:rsidRPr="00C45931">
        <w:t xml:space="preserve">cells were stained with APC-Cy7 anti-CD14 (clone MψP9; </w:t>
      </w:r>
      <w:proofErr w:type="spellStart"/>
      <w:r w:rsidRPr="00C45931">
        <w:t>BDBiosciences</w:t>
      </w:r>
      <w:proofErr w:type="spellEnd"/>
      <w:r w:rsidRPr="00C45931">
        <w:t xml:space="preserve">) and Pacific Blue anti-CD66b (clone G10F5; </w:t>
      </w:r>
      <w:proofErr w:type="spellStart"/>
      <w:r w:rsidRPr="00C45931">
        <w:t>BioLegend</w:t>
      </w:r>
      <w:proofErr w:type="spellEnd"/>
      <w:r w:rsidRPr="00C45931">
        <w:t xml:space="preserve">). Cells were washed, fixed with 4% PFA, and </w:t>
      </w:r>
      <w:proofErr w:type="spellStart"/>
      <w:r w:rsidRPr="00C45931">
        <w:t>analyzed</w:t>
      </w:r>
      <w:proofErr w:type="spellEnd"/>
      <w:r>
        <w:t xml:space="preserve"> </w:t>
      </w:r>
      <w:r w:rsidRPr="00C45931">
        <w:t>using flow cytometry. The phagocytic score was calculated from</w:t>
      </w:r>
      <w:r>
        <w:t xml:space="preserve"> </w:t>
      </w:r>
      <w:r w:rsidRPr="00C45931">
        <w:t>gated neutrophils (CD14−,</w:t>
      </w:r>
      <w:r>
        <w:t xml:space="preserve"> </w:t>
      </w:r>
      <w:r w:rsidRPr="00C45931">
        <w:t>CD66b+).</w:t>
      </w:r>
      <w:r>
        <w:t xml:space="preserve"> </w:t>
      </w:r>
    </w:p>
    <w:p w:rsidR="0020578C" w:rsidRDefault="0020578C" w:rsidP="0020578C">
      <w:pPr>
        <w:spacing w:line="360" w:lineRule="auto"/>
      </w:pPr>
    </w:p>
    <w:p w:rsidR="0020578C" w:rsidRDefault="0020578C" w:rsidP="0020578C">
      <w:pPr>
        <w:pStyle w:val="Heading2"/>
      </w:pPr>
      <w:r>
        <w:t>ADNOB (antibody dependent neutrophil oxidative burst)</w:t>
      </w:r>
    </w:p>
    <w:p w:rsidR="0020578C" w:rsidRDefault="0020578C" w:rsidP="0020578C"/>
    <w:p w:rsidR="0020578C" w:rsidRPr="00ED4DCA" w:rsidRDefault="0020578C" w:rsidP="0020578C">
      <w:pPr>
        <w:spacing w:line="360" w:lineRule="auto"/>
      </w:pPr>
      <w:r>
        <w:t>Neutrophil oxidative burst</w:t>
      </w:r>
      <w:r w:rsidRPr="00ED4DCA">
        <w:t xml:space="preserve"> was measured by addition of </w:t>
      </w:r>
      <w:proofErr w:type="spellStart"/>
      <w:r w:rsidRPr="00ED4DCA">
        <w:t>dihydrorhodamine</w:t>
      </w:r>
      <w:proofErr w:type="spellEnd"/>
      <w:r w:rsidRPr="00ED4DCA">
        <w:t xml:space="preserve"> 123 to freshly isolated neutrophils with antibody-opsonized red fluorescent </w:t>
      </w:r>
      <w:proofErr w:type="spellStart"/>
      <w:r w:rsidRPr="00ED4DCA">
        <w:t>NeutrAvidin</w:t>
      </w:r>
      <w:proofErr w:type="spellEnd"/>
      <w:r w:rsidRPr="00ED4DCA">
        <w:t xml:space="preserve">-coated microspheres. </w:t>
      </w:r>
      <w:r>
        <w:t>H</w:t>
      </w:r>
      <w:r w:rsidRPr="00ED4DCA">
        <w:t xml:space="preserve">eat inactivated </w:t>
      </w:r>
      <w:r>
        <w:t>s</w:t>
      </w:r>
      <w:r w:rsidRPr="00ED4DCA">
        <w:t>erum samples were diluted 1:50 before incubation with Vi-coated red fluorescent microspheres. Leukocytes were isolated from EDTA-treated blood from healthy anonymized donors using ammonium-chloride-potassium lysis buffer. 5 × 10</w:t>
      </w:r>
      <w:r w:rsidRPr="00A54D6E">
        <w:rPr>
          <w:vertAlign w:val="superscript"/>
        </w:rPr>
        <w:t>4</w:t>
      </w:r>
      <w:r w:rsidRPr="00ED4DCA">
        <w:t xml:space="preserve"> leukocytes were added to each well of antibody-opsonized beads, followed by 10 µl per well of </w:t>
      </w:r>
      <w:proofErr w:type="spellStart"/>
      <w:r w:rsidRPr="00ED4DCA">
        <w:t>dihydrorhodamine</w:t>
      </w:r>
      <w:proofErr w:type="spellEnd"/>
      <w:r w:rsidRPr="00ED4DCA">
        <w:t xml:space="preserve"> 123 (50 µM), and incubated for 1 h at 37°C. Cells were pelleted and stained as above with APC-Cy7 anti-CD14 (clone MφP9; BD Biosciences), Alexa Fluor 700 anti-CD3 (clone UCHT1; BD Biosciences), and Pacific Blue anti-CD66b (clone G10F5; </w:t>
      </w:r>
      <w:proofErr w:type="spellStart"/>
      <w:r w:rsidRPr="00ED4DCA">
        <w:t>BioLegend</w:t>
      </w:r>
      <w:proofErr w:type="spellEnd"/>
      <w:r w:rsidRPr="00ED4DCA">
        <w:t xml:space="preserve">). Cells were washed, fixed with 4% PFA, and </w:t>
      </w:r>
      <w:proofErr w:type="spellStart"/>
      <w:r w:rsidRPr="00ED4DCA">
        <w:t>analyzed</w:t>
      </w:r>
      <w:proofErr w:type="spellEnd"/>
      <w:r w:rsidRPr="00ED4DCA">
        <w:t xml:space="preserve"> </w:t>
      </w:r>
      <w:r w:rsidRPr="00ED4DCA">
        <w:lastRenderedPageBreak/>
        <w:t>immediately using flow cytometry. The oxidative burst score was calculated from gated neutrophils (CD14</w:t>
      </w:r>
      <w:proofErr w:type="gramStart"/>
      <w:r w:rsidRPr="00ED4DCA">
        <w:t>+,CD</w:t>
      </w:r>
      <w:proofErr w:type="gramEnd"/>
      <w:r w:rsidRPr="00ED4DCA">
        <w:t>3−,CD66b+).</w:t>
      </w:r>
    </w:p>
    <w:p w:rsidR="0020578C" w:rsidRDefault="0020578C" w:rsidP="0020578C">
      <w:pPr>
        <w:spacing w:line="360" w:lineRule="auto"/>
      </w:pPr>
    </w:p>
    <w:p w:rsidR="0020578C" w:rsidRDefault="0020578C" w:rsidP="0020578C">
      <w:pPr>
        <w:pStyle w:val="Heading2"/>
      </w:pPr>
      <w:r w:rsidRPr="00C45931">
        <w:t>A</w:t>
      </w:r>
      <w:r>
        <w:t>DNKA (a</w:t>
      </w:r>
      <w:r w:rsidRPr="00C45931">
        <w:t>ntibody-dependent NK cell activation</w:t>
      </w:r>
      <w:r>
        <w:t>)</w:t>
      </w:r>
    </w:p>
    <w:p w:rsidR="0020578C" w:rsidRPr="00601DCF" w:rsidRDefault="0020578C" w:rsidP="0020578C"/>
    <w:p w:rsidR="0020578C" w:rsidRDefault="0020578C" w:rsidP="0020578C">
      <w:pPr>
        <w:spacing w:line="360" w:lineRule="auto"/>
      </w:pPr>
      <w:r w:rsidRPr="00C45931">
        <w:t xml:space="preserve">96-well ELISA plates were coated with streptavidin (5 </w:t>
      </w:r>
      <w:proofErr w:type="spellStart"/>
      <w:r w:rsidRPr="00C45931">
        <w:t>μg</w:t>
      </w:r>
      <w:proofErr w:type="spellEnd"/>
      <w:r w:rsidRPr="00C45931">
        <w:t xml:space="preserve">/ml) at37°C overnight. The </w:t>
      </w:r>
      <w:r>
        <w:t xml:space="preserve">following </w:t>
      </w:r>
      <w:r w:rsidRPr="00C45931">
        <w:t xml:space="preserve">day, streptavidin solution was removed, and biotinylated Vi (3 </w:t>
      </w:r>
      <w:proofErr w:type="spellStart"/>
      <w:r w:rsidRPr="00C45931">
        <w:t>μg</w:t>
      </w:r>
      <w:proofErr w:type="spellEnd"/>
      <w:r w:rsidRPr="00C45931">
        <w:t>/ml) was added to plates before</w:t>
      </w:r>
      <w:r>
        <w:t xml:space="preserve"> </w:t>
      </w:r>
      <w:r w:rsidRPr="00C45931">
        <w:t>incubation at 37°C for 3 h. Plates were washed with PBS, and</w:t>
      </w:r>
      <w:r>
        <w:t xml:space="preserve"> </w:t>
      </w:r>
      <w:r w:rsidRPr="00C45931">
        <w:t>serum samples diluted 1:10 were added to Vi-coated wells before</w:t>
      </w:r>
      <w:r>
        <w:t xml:space="preserve"> </w:t>
      </w:r>
      <w:r w:rsidRPr="00C45931">
        <w:t>incubation for 2 h at 37°C. After incubation, plates were washed</w:t>
      </w:r>
      <w:r>
        <w:t xml:space="preserve"> </w:t>
      </w:r>
      <w:r w:rsidRPr="00C45931">
        <w:t>with PBS before addition of NK cells. NK cells were isolated from</w:t>
      </w:r>
      <w:r>
        <w:t xml:space="preserve"> </w:t>
      </w:r>
      <w:r w:rsidRPr="00C45931">
        <w:t xml:space="preserve">buffy coats using a </w:t>
      </w:r>
      <w:proofErr w:type="spellStart"/>
      <w:r w:rsidRPr="00C45931">
        <w:t>RosetteSep</w:t>
      </w:r>
      <w:proofErr w:type="spellEnd"/>
      <w:r w:rsidRPr="00C45931">
        <w:t xml:space="preserve"> NK cell enrichment kit (</w:t>
      </w:r>
      <w:proofErr w:type="spellStart"/>
      <w:r w:rsidRPr="00C45931">
        <w:t>StemCell</w:t>
      </w:r>
      <w:proofErr w:type="spellEnd"/>
      <w:r w:rsidRPr="00C45931">
        <w:t xml:space="preserve"> Technologies), and a cocktail of PE-Cy5 anti-CD107a (cloneH4A3), brefeldin A (Sigma-Aldrich), and </w:t>
      </w:r>
      <w:proofErr w:type="spellStart"/>
      <w:r w:rsidRPr="00C45931">
        <w:t>GolgiStop</w:t>
      </w:r>
      <w:proofErr w:type="spellEnd"/>
      <w:r w:rsidRPr="00C45931">
        <w:t xml:space="preserve"> (BD</w:t>
      </w:r>
      <w:r>
        <w:t xml:space="preserve"> </w:t>
      </w:r>
      <w:r w:rsidRPr="00C45931">
        <w:t>Biosciences) was added immediately before addition of NK cells</w:t>
      </w:r>
      <w:r>
        <w:t xml:space="preserve"> t</w:t>
      </w:r>
      <w:r w:rsidRPr="00C45931">
        <w:t>o plate wells at 5 × 10</w:t>
      </w:r>
      <w:r w:rsidRPr="00A54D6E">
        <w:rPr>
          <w:vertAlign w:val="superscript"/>
        </w:rPr>
        <w:t>4</w:t>
      </w:r>
      <w:r>
        <w:t xml:space="preserve"> </w:t>
      </w:r>
      <w:r w:rsidRPr="00C45931">
        <w:t>cells/well. Plates were then incubated at</w:t>
      </w:r>
      <w:r>
        <w:t xml:space="preserve"> </w:t>
      </w:r>
      <w:r w:rsidRPr="00C45931">
        <w:t xml:space="preserve">37°C for 5 h. </w:t>
      </w:r>
      <w:r>
        <w:t>Following</w:t>
      </w:r>
      <w:r w:rsidRPr="00C45931">
        <w:t xml:space="preserve"> incubation, cells were transferred to a 96-well  U-bottom  plate  containing  an  antibody  surface  stain</w:t>
      </w:r>
      <w:r>
        <w:t xml:space="preserve"> </w:t>
      </w:r>
      <w:r w:rsidRPr="00C45931">
        <w:t>cocktail of PE-Cy7 anti-CD56 (clone B159), APC-Cy7 anti-CD16</w:t>
      </w:r>
      <w:r>
        <w:t xml:space="preserve"> </w:t>
      </w:r>
      <w:r w:rsidRPr="00C45931">
        <w:t>(clone 3G8), and A700 anti-CD3 (clone UCHT1) and incubated</w:t>
      </w:r>
      <w:r>
        <w:t xml:space="preserve"> </w:t>
      </w:r>
      <w:r w:rsidRPr="00C45931">
        <w:t>for 15 min. Cells were then washed before permeabilization</w:t>
      </w:r>
      <w:r>
        <w:t xml:space="preserve"> </w:t>
      </w:r>
      <w:r w:rsidRPr="00C45931">
        <w:t xml:space="preserve">with </w:t>
      </w:r>
      <w:proofErr w:type="spellStart"/>
      <w:r w:rsidRPr="00C45931">
        <w:t>PermA</w:t>
      </w:r>
      <w:proofErr w:type="spellEnd"/>
      <w:r w:rsidRPr="00C45931">
        <w:t xml:space="preserve"> (Life Technologies); intracellular staining for 15 min</w:t>
      </w:r>
      <w:r>
        <w:t xml:space="preserve"> </w:t>
      </w:r>
      <w:r w:rsidRPr="00C45931">
        <w:t xml:space="preserve">with MIP-1β-PE (clone D21-1351), </w:t>
      </w:r>
      <w:proofErr w:type="spellStart"/>
      <w:r w:rsidRPr="00C45931">
        <w:t>IFNγ</w:t>
      </w:r>
      <w:proofErr w:type="spellEnd"/>
      <w:r w:rsidRPr="00C45931">
        <w:t>-APC (clone B27), and</w:t>
      </w:r>
      <w:r>
        <w:t xml:space="preserve"> </w:t>
      </w:r>
      <w:proofErr w:type="spellStart"/>
      <w:r w:rsidRPr="00C45931">
        <w:t>PermB</w:t>
      </w:r>
      <w:proofErr w:type="spellEnd"/>
      <w:r w:rsidRPr="00C45931">
        <w:t xml:space="preserve"> (Life Technologies); and finally washing with PBS. Cells</w:t>
      </w:r>
      <w:r>
        <w:t xml:space="preserve"> </w:t>
      </w:r>
      <w:r w:rsidRPr="00C45931">
        <w:t xml:space="preserve">were </w:t>
      </w:r>
      <w:proofErr w:type="spellStart"/>
      <w:r w:rsidRPr="00C45931">
        <w:t>analyzed</w:t>
      </w:r>
      <w:proofErr w:type="spellEnd"/>
      <w:r w:rsidRPr="00C45931">
        <w:t xml:space="preserve"> using flow cytometry. NK </w:t>
      </w:r>
      <w:proofErr w:type="spellStart"/>
      <w:r w:rsidRPr="00C45931">
        <w:t>IFNγ</w:t>
      </w:r>
      <w:proofErr w:type="spellEnd"/>
      <w:r w:rsidRPr="00C45931">
        <w:t>, CD107a, and</w:t>
      </w:r>
      <w:r>
        <w:t xml:space="preserve"> </w:t>
      </w:r>
      <w:r w:rsidRPr="00C45931">
        <w:t>MIP-1β</w:t>
      </w:r>
      <w:r>
        <w:t xml:space="preserve"> production</w:t>
      </w:r>
      <w:r w:rsidRPr="00C45931">
        <w:t xml:space="preserve"> is represented as the proportion of</w:t>
      </w:r>
      <w:r>
        <w:t xml:space="preserve"> </w:t>
      </w:r>
      <w:r w:rsidRPr="00C45931">
        <w:t>NK cells (CD3</w:t>
      </w:r>
      <w:r>
        <w:t>+</w:t>
      </w:r>
      <w:r w:rsidRPr="00C45931">
        <w:t>, CD56</w:t>
      </w:r>
      <w:r>
        <w:t>+</w:t>
      </w:r>
      <w:r w:rsidRPr="00C45931">
        <w:t>, and CD16</w:t>
      </w:r>
      <w:r>
        <w:t>+</w:t>
      </w:r>
      <w:r w:rsidRPr="00C45931">
        <w:t>) for the expression of</w:t>
      </w:r>
      <w:r>
        <w:t xml:space="preserve"> </w:t>
      </w:r>
      <w:r w:rsidRPr="00C45931">
        <w:t xml:space="preserve">these </w:t>
      </w:r>
      <w:r>
        <w:t xml:space="preserve">activation </w:t>
      </w:r>
      <w:r w:rsidRPr="00C45931">
        <w:t>markers. All antibodies were sourced from BD Biosciences.</w:t>
      </w:r>
    </w:p>
    <w:p w:rsidR="0020578C" w:rsidRDefault="0020578C" w:rsidP="0020578C">
      <w:pPr>
        <w:spacing w:line="360" w:lineRule="auto"/>
      </w:pPr>
    </w:p>
    <w:p w:rsidR="0020578C" w:rsidRDefault="0020578C" w:rsidP="0020578C">
      <w:pPr>
        <w:pStyle w:val="Heading2"/>
      </w:pPr>
      <w:r w:rsidRPr="00B5073B">
        <w:t>Luminescent-Serum Bactericidal Activity Assay (L-SBA)</w:t>
      </w:r>
    </w:p>
    <w:p w:rsidR="0020578C" w:rsidRPr="004E6822" w:rsidRDefault="0020578C" w:rsidP="0020578C"/>
    <w:p w:rsidR="0020578C" w:rsidRDefault="0020578C" w:rsidP="0020578C">
      <w:pPr>
        <w:spacing w:line="360" w:lineRule="auto"/>
      </w:pPr>
      <w:r w:rsidRPr="00B5073B">
        <w:t xml:space="preserve">The L-SBA assay methods are based on the publication by </w:t>
      </w:r>
      <w:proofErr w:type="spellStart"/>
      <w:r w:rsidRPr="00B5073B">
        <w:t>Necchi</w:t>
      </w:r>
      <w:proofErr w:type="spellEnd"/>
      <w:r w:rsidRPr="00B5073B">
        <w:t xml:space="preserve"> et al. [20]. Briefly,</w:t>
      </w:r>
      <w:r>
        <w:t xml:space="preserve"> </w:t>
      </w:r>
      <w:r w:rsidRPr="00B5073B">
        <w:t>participant serum samples were heat-inactivated by incubating in a water bath at 56◦C for30 min before making a dilution series starting at 1:1.5 in PBS.</w:t>
      </w:r>
      <w:r>
        <w:t xml:space="preserve"> </w:t>
      </w:r>
      <w:r w:rsidRPr="00A54D6E">
        <w:rPr>
          <w:i/>
        </w:rPr>
        <w:t>S</w:t>
      </w:r>
      <w:r w:rsidRPr="00B5073B">
        <w:t>.</w:t>
      </w:r>
      <w:r>
        <w:t xml:space="preserve"> t</w:t>
      </w:r>
      <w:r w:rsidRPr="00B5073B">
        <w:t>yphi bacteria (Quailes</w:t>
      </w:r>
      <w:r>
        <w:t xml:space="preserve"> </w:t>
      </w:r>
      <w:r w:rsidRPr="00B5073B">
        <w:t>strain, a wild-type, Vi+ strain isolated from a chronic carrier) were grown to log phase and</w:t>
      </w:r>
      <w:r>
        <w:t xml:space="preserve"> </w:t>
      </w:r>
      <w:r w:rsidRPr="00B5073B">
        <w:t>diluted 1:60 in LB broth (Sigma, St. Louis, MO, USA) before adding to diluted test sera in</w:t>
      </w:r>
      <w:r>
        <w:t xml:space="preserve"> </w:t>
      </w:r>
      <w:r w:rsidRPr="00B5073B">
        <w:t>the presence of 10% rabbit complement (</w:t>
      </w:r>
      <w:proofErr w:type="spellStart"/>
      <w:r w:rsidRPr="00B5073B">
        <w:t>CedarLane</w:t>
      </w:r>
      <w:proofErr w:type="spellEnd"/>
      <w:r w:rsidRPr="00B5073B">
        <w:t>, Burlington, Canada) (10μL diluted</w:t>
      </w:r>
      <w:r>
        <w:t xml:space="preserve"> </w:t>
      </w:r>
      <w:r w:rsidRPr="00B5073B">
        <w:t>bacterial suspension, 10μL test serum, 10μL rabbit complement, 70μL LB) in a 96 well</w:t>
      </w:r>
      <w:r>
        <w:t xml:space="preserve"> </w:t>
      </w:r>
      <w:r w:rsidRPr="00B5073B">
        <w:t>plate (VWR Ltd., Radnor, PA, USA). Plates were incubated for 3 h at 37◦C, with shaking at220 rpm before centrifugation at 3220×g</w:t>
      </w:r>
      <w:r>
        <w:t xml:space="preserve"> </w:t>
      </w:r>
      <w:r w:rsidRPr="00B5073B">
        <w:t>for 10 min. The supernatant was discarded and the</w:t>
      </w:r>
      <w:r>
        <w:t xml:space="preserve"> </w:t>
      </w:r>
      <w:r w:rsidRPr="00B5073B">
        <w:t xml:space="preserve">pelleted bacteria re-suspended in PBS. The resultant bacterial suspension was </w:t>
      </w:r>
      <w:r w:rsidRPr="00B5073B">
        <w:lastRenderedPageBreak/>
        <w:t>transferred</w:t>
      </w:r>
      <w:r>
        <w:t xml:space="preserve"> </w:t>
      </w:r>
      <w:r w:rsidRPr="00B5073B">
        <w:t>to a white flat-bottomed 96 well plate (VWR International Ltd., Radnor, PA, USA) and</w:t>
      </w:r>
      <w:r>
        <w:t xml:space="preserve"> </w:t>
      </w:r>
      <w:r w:rsidRPr="00B5073B">
        <w:t xml:space="preserve">mixed in a 1:1 ratio with Promega </w:t>
      </w:r>
      <w:proofErr w:type="spellStart"/>
      <w:r w:rsidRPr="00B5073B">
        <w:t>BacTiter</w:t>
      </w:r>
      <w:proofErr w:type="spellEnd"/>
      <w:r w:rsidRPr="00B5073B">
        <w:t>-Glo for quantification of luminescence (relative</w:t>
      </w:r>
      <w:r>
        <w:t xml:space="preserve"> l</w:t>
      </w:r>
      <w:r w:rsidRPr="00B5073B">
        <w:t xml:space="preserve">ight units, RLU) using the </w:t>
      </w:r>
      <w:proofErr w:type="spellStart"/>
      <w:r w:rsidRPr="00B5073B">
        <w:t>LUMIstar</w:t>
      </w:r>
      <w:proofErr w:type="spellEnd"/>
      <w:r w:rsidRPr="00B5073B">
        <w:t xml:space="preserve"> OMEGA (BMG Labtech, </w:t>
      </w:r>
      <w:proofErr w:type="spellStart"/>
      <w:r w:rsidRPr="00B5073B">
        <w:t>Ortenberg</w:t>
      </w:r>
      <w:proofErr w:type="spellEnd"/>
      <w:r w:rsidRPr="00B5073B">
        <w:t>, Germany), RLU</w:t>
      </w:r>
      <w:r>
        <w:t xml:space="preserve"> </w:t>
      </w:r>
      <w:r w:rsidRPr="00B5073B">
        <w:t>output is directly proportional to the number of whole bacteria in the final suspension. SBA</w:t>
      </w:r>
      <w:r>
        <w:t xml:space="preserve"> </w:t>
      </w:r>
      <w:r w:rsidRPr="00B5073B">
        <w:t>titres were calculated by normalising the luminescence measured for each sample dilution</w:t>
      </w:r>
      <w:r>
        <w:t xml:space="preserve"> </w:t>
      </w:r>
      <w:r w:rsidRPr="00B5073B">
        <w:t>by that of the active complement only control (no serum), before fitting a 4-parametersigmoidal curve to each dilution series and determining the serum dilution at which 50%killing of</w:t>
      </w:r>
      <w:r>
        <w:t xml:space="preserve"> </w:t>
      </w:r>
      <w:proofErr w:type="spellStart"/>
      <w:proofErr w:type="gramStart"/>
      <w:r w:rsidRPr="00B5073B">
        <w:t>S.Typhi</w:t>
      </w:r>
      <w:proofErr w:type="spellEnd"/>
      <w:proofErr w:type="gramEnd"/>
      <w:r w:rsidRPr="00B5073B">
        <w:t xml:space="preserve"> occurred. Data were included only if the R2 of the sample dilution curve</w:t>
      </w:r>
      <w:r>
        <w:t xml:space="preserve"> w</w:t>
      </w:r>
      <w:r w:rsidRPr="00B5073B">
        <w:t>as greater than 0.7, and the sample had been sufficiently diluted so the final RLU was</w:t>
      </w:r>
      <w:r>
        <w:t xml:space="preserve"> </w:t>
      </w:r>
      <w:r w:rsidRPr="00B5073B">
        <w:t>comparable to the RLU of the complement only control. Samples were re-run if the titre of</w:t>
      </w:r>
      <w:r>
        <w:t xml:space="preserve"> </w:t>
      </w:r>
      <w:r w:rsidRPr="00B5073B">
        <w:t>the positive control sample (international Vi standard 16/138, NIBSC UK) run on the same</w:t>
      </w:r>
      <w:r>
        <w:t xml:space="preserve"> </w:t>
      </w:r>
      <w:r w:rsidRPr="00B5073B">
        <w:t>plate fell out of range (average±1 standard deviation). The limit of detection was defined</w:t>
      </w:r>
      <w:r>
        <w:t xml:space="preserve"> </w:t>
      </w:r>
      <w:r w:rsidRPr="00B5073B">
        <w:t>as an SBA titre of 39.</w:t>
      </w:r>
    </w:p>
    <w:p w:rsidR="0020578C" w:rsidRDefault="0020578C" w:rsidP="0020578C">
      <w:pPr>
        <w:spacing w:line="360" w:lineRule="auto"/>
      </w:pPr>
    </w:p>
    <w:p w:rsidR="0020578C" w:rsidRPr="00ED4DCA" w:rsidRDefault="0020578C" w:rsidP="0020578C">
      <w:pPr>
        <w:widowControl w:val="0"/>
        <w:autoSpaceDE w:val="0"/>
        <w:autoSpaceDN w:val="0"/>
        <w:adjustRightInd w:val="0"/>
        <w:spacing w:line="360" w:lineRule="auto"/>
        <w:ind w:left="640" w:hanging="640"/>
        <w:rPr>
          <w:rFonts w:ascii="Calibri" w:hAnsi="Calibri" w:cs="Calibri"/>
          <w:noProof/>
        </w:rPr>
      </w:pPr>
      <w:r>
        <w:fldChar w:fldCharType="begin" w:fldLock="1"/>
      </w:r>
      <w:r>
        <w:instrText xml:space="preserve">ADDIN Mendeley Bibliography CSL_BIBLIOGRAPHY </w:instrText>
      </w:r>
      <w:r>
        <w:fldChar w:fldCharType="separate"/>
      </w:r>
      <w:r w:rsidRPr="00ED4DCA">
        <w:rPr>
          <w:rFonts w:ascii="Calibri" w:hAnsi="Calibri" w:cs="Calibri"/>
          <w:noProof/>
        </w:rPr>
        <w:t xml:space="preserve">1. </w:t>
      </w:r>
      <w:r w:rsidRPr="00ED4DCA">
        <w:rPr>
          <w:rFonts w:ascii="Calibri" w:hAnsi="Calibri" w:cs="Calibri"/>
          <w:noProof/>
        </w:rPr>
        <w:tab/>
        <w:t xml:space="preserve">Jin C, Hill J, Gunn BM, Yu WH, Dahora LC, Jones E, et al. Vi-specific serological correlates of protection for typhoid fever. J Exp Med. 2021;218(2). </w:t>
      </w:r>
    </w:p>
    <w:p w:rsidR="0020578C" w:rsidRPr="00ED4DCA" w:rsidRDefault="0020578C" w:rsidP="0020578C">
      <w:pPr>
        <w:widowControl w:val="0"/>
        <w:autoSpaceDE w:val="0"/>
        <w:autoSpaceDN w:val="0"/>
        <w:adjustRightInd w:val="0"/>
        <w:spacing w:line="360" w:lineRule="auto"/>
        <w:ind w:left="640" w:hanging="640"/>
        <w:rPr>
          <w:rFonts w:ascii="Calibri" w:hAnsi="Calibri" w:cs="Calibri"/>
          <w:noProof/>
        </w:rPr>
      </w:pPr>
      <w:r w:rsidRPr="00ED4DCA">
        <w:rPr>
          <w:rFonts w:ascii="Calibri" w:hAnsi="Calibri" w:cs="Calibri"/>
          <w:noProof/>
        </w:rPr>
        <w:t xml:space="preserve">2. </w:t>
      </w:r>
      <w:r w:rsidRPr="00ED4DCA">
        <w:rPr>
          <w:rFonts w:ascii="Calibri" w:hAnsi="Calibri" w:cs="Calibri"/>
          <w:noProof/>
        </w:rPr>
        <w:tab/>
        <w:t xml:space="preserve">Johnson M, Stockdale L, de Haan N, Wuhrer M, Nouta J, Koeleman CAM, et al. Association of Antibody-Dependent Neutrophil Phagocytosis With Distinct Antibody Glycosylation Profiles Following Typhoid Vaccination. Front Trop Dis. 2021 Sep 16;2. </w:t>
      </w:r>
    </w:p>
    <w:p w:rsidR="0020578C" w:rsidRPr="00ED4DCA" w:rsidRDefault="0020578C" w:rsidP="0020578C">
      <w:pPr>
        <w:widowControl w:val="0"/>
        <w:autoSpaceDE w:val="0"/>
        <w:autoSpaceDN w:val="0"/>
        <w:adjustRightInd w:val="0"/>
        <w:spacing w:line="360" w:lineRule="auto"/>
        <w:ind w:left="640" w:hanging="640"/>
        <w:rPr>
          <w:rFonts w:ascii="Calibri" w:hAnsi="Calibri" w:cs="Calibri"/>
          <w:noProof/>
        </w:rPr>
      </w:pPr>
      <w:r w:rsidRPr="00ED4DCA">
        <w:rPr>
          <w:rFonts w:ascii="Calibri" w:hAnsi="Calibri" w:cs="Calibri"/>
          <w:noProof/>
        </w:rPr>
        <w:t xml:space="preserve">3. </w:t>
      </w:r>
      <w:r w:rsidRPr="00ED4DCA">
        <w:rPr>
          <w:rFonts w:ascii="Calibri" w:hAnsi="Calibri" w:cs="Calibri"/>
          <w:noProof/>
        </w:rPr>
        <w:tab/>
        <w:t xml:space="preserve">Barouch DH, Alter G, Broge T, Linde C, Ackerman ME, Brown EP, et al. Protective Efficacy of Adenovirus/Protein Vaccines Against SIV Challenges in Rhesus Monkeys. Science (80- ). 2015;349(6245):320–4. </w:t>
      </w:r>
    </w:p>
    <w:p w:rsidR="0020578C" w:rsidRPr="00ED4DCA" w:rsidRDefault="0020578C" w:rsidP="0020578C">
      <w:pPr>
        <w:widowControl w:val="0"/>
        <w:autoSpaceDE w:val="0"/>
        <w:autoSpaceDN w:val="0"/>
        <w:adjustRightInd w:val="0"/>
        <w:spacing w:line="360" w:lineRule="auto"/>
        <w:ind w:left="640" w:hanging="640"/>
        <w:rPr>
          <w:rFonts w:ascii="Calibri" w:hAnsi="Calibri" w:cs="Calibri"/>
          <w:noProof/>
        </w:rPr>
      </w:pPr>
      <w:r w:rsidRPr="00ED4DCA">
        <w:rPr>
          <w:rFonts w:ascii="Calibri" w:hAnsi="Calibri" w:cs="Calibri"/>
          <w:noProof/>
        </w:rPr>
        <w:t xml:space="preserve">4. </w:t>
      </w:r>
      <w:r w:rsidRPr="00ED4DCA">
        <w:rPr>
          <w:rFonts w:ascii="Calibri" w:hAnsi="Calibri" w:cs="Calibri"/>
          <w:noProof/>
        </w:rPr>
        <w:tab/>
        <w:t xml:space="preserve">Ackerman ME, Moldt B, Wyatt RT, Dugast A, Tsoukas S, Jost S, et al. A robust, high-throughput assay to determine the phagocytic activity of clinical antibody samples. J Immunol Methods. 2011;366:8–19. </w:t>
      </w:r>
    </w:p>
    <w:p w:rsidR="0020578C" w:rsidRPr="00ED4DCA" w:rsidRDefault="0020578C" w:rsidP="0020578C">
      <w:pPr>
        <w:widowControl w:val="0"/>
        <w:autoSpaceDE w:val="0"/>
        <w:autoSpaceDN w:val="0"/>
        <w:adjustRightInd w:val="0"/>
        <w:spacing w:line="360" w:lineRule="auto"/>
        <w:ind w:left="640" w:hanging="640"/>
        <w:rPr>
          <w:rFonts w:ascii="Calibri" w:hAnsi="Calibri" w:cs="Calibri"/>
          <w:noProof/>
        </w:rPr>
      </w:pPr>
      <w:r w:rsidRPr="00ED4DCA">
        <w:rPr>
          <w:rFonts w:ascii="Calibri" w:hAnsi="Calibri" w:cs="Calibri"/>
          <w:noProof/>
        </w:rPr>
        <w:t xml:space="preserve">5. </w:t>
      </w:r>
      <w:r w:rsidRPr="00ED4DCA">
        <w:rPr>
          <w:rFonts w:ascii="Calibri" w:hAnsi="Calibri" w:cs="Calibri"/>
          <w:noProof/>
        </w:rPr>
        <w:tab/>
        <w:t xml:space="preserve">Jones E, Jin C, Stockdale L, Dold C, Pollard AJ, Hill J. A salmonella typhi controlled human infection study for assessing correlation between bactericidal antibodies and protection against infection induced by typhoid vaccination. Microorganisms. 2021 Jul 1;9(7). </w:t>
      </w:r>
    </w:p>
    <w:p w:rsidR="0020578C" w:rsidRDefault="0020578C" w:rsidP="0020578C">
      <w:pPr>
        <w:spacing w:line="360" w:lineRule="auto"/>
      </w:pPr>
      <w:r>
        <w:fldChar w:fldCharType="end"/>
      </w:r>
    </w:p>
    <w:p w:rsidR="0020578C" w:rsidRPr="00D74D67" w:rsidRDefault="0020578C" w:rsidP="0020578C">
      <w:pPr>
        <w:spacing w:line="360" w:lineRule="auto"/>
        <w:jc w:val="both"/>
      </w:pPr>
    </w:p>
    <w:p w:rsidR="00763301" w:rsidRDefault="00763301"/>
    <w:sectPr w:rsidR="00763301" w:rsidSect="0015147A">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78C"/>
    <w:rsid w:val="0020578C"/>
    <w:rsid w:val="00763301"/>
    <w:rsid w:val="00C170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AD18C"/>
  <w15:chartTrackingRefBased/>
  <w15:docId w15:val="{00E11FF4-7C9E-40E0-BC85-6950182E5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578C"/>
    <w:rPr>
      <w:rFonts w:eastAsiaTheme="minorHAnsi"/>
    </w:rPr>
  </w:style>
  <w:style w:type="paragraph" w:styleId="Heading1">
    <w:name w:val="heading 1"/>
    <w:basedOn w:val="Normal"/>
    <w:next w:val="Normal"/>
    <w:link w:val="Heading1Char"/>
    <w:uiPriority w:val="9"/>
    <w:qFormat/>
    <w:rsid w:val="002057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057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578C"/>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20578C"/>
    <w:rPr>
      <w:sz w:val="16"/>
      <w:szCs w:val="16"/>
    </w:rPr>
  </w:style>
  <w:style w:type="character" w:styleId="LineNumber">
    <w:name w:val="line number"/>
    <w:basedOn w:val="DefaultParagraphFont"/>
    <w:uiPriority w:val="99"/>
    <w:semiHidden/>
    <w:unhideWhenUsed/>
    <w:rsid w:val="0020578C"/>
  </w:style>
  <w:style w:type="character" w:customStyle="1" w:styleId="Heading1Char">
    <w:name w:val="Heading 1 Char"/>
    <w:basedOn w:val="DefaultParagraphFont"/>
    <w:link w:val="Heading1"/>
    <w:uiPriority w:val="9"/>
    <w:rsid w:val="0020578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56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5123</Words>
  <Characters>29202</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Oxford University Medical Sciences</Company>
  <LinksUpToDate>false</LinksUpToDate>
  <CharactersWithSpaces>34257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Stockdale</dc:creator>
  <cp:keywords/>
  <dc:description/>
  <cp:lastModifiedBy>Lisa Stockdale</cp:lastModifiedBy>
  <cp:revision>1</cp:revision>
  <dcterms:created xsi:type="dcterms:W3CDTF">2022-10-18T13:01:00Z</dcterms:created>
  <dcterms:modified xsi:type="dcterms:W3CDTF">2022-10-18T13:03:00Z</dcterms:modified>
</cp:coreProperties>
</file>